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JUSTICE SYSTEM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Communicating with Your Child's Public Defender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What to share, what to ask for, and how to stay an active part of your child's defense.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A public defender is your child's lawyer. Their job is to defend your child — and your job is to make sure they have everything they need to do it well.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UNDERSTANDING THE RELATIONSHIP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Public defenders are often handling many cases at once. That does not mean your child's case doesn't matter — it means you need to be proactive. The families who stay engaged, ask questions, and provide information get better outcomes. This is not fair. It is true.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Attorney-client privilege belongs to your child, not to you — meaning the defender's primary obligation is to your child, and your child's communications with the attorney are confidential. However, as a parent or guardian, you have the right to be involved and informed, especially for youth in the juvenile system.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YOUR FIRST COMMUNICATION — WHAT TO SEND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61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9A84C"/>
                <w:sz w:val="20"/>
                <w:szCs w:val="20"/>
              </w:rPr>
              <w:t xml:space="preserve">Send this within 48 hours of your child being assigned a public defender. Time matters.</w:t>
            </w:r>
          </w:p>
        </w:tc>
      </w:tr>
    </w:tbl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Dear [Public Defender's Name],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My name is [Your Name] and I am the [parent/guardian/grandparent] of [Child's Full Name], DOB [date], who has been assigned to your caseload. I am writing to introduce myself and to share information that I believe will be important to my child's defense.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my child: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[Child's Name] is [age] years old and is currently in [grade] at [school name].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[Any relevant context — for example: they have an IEP for [disability]; they have been under significant stress due to [family situation]; this is their first contact with the legal system; etc.]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[Any mental health history, trauma history, or other context the defender should know]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My questions and requests at this time: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Can you walk me through the charges, the possible outcomes, and the timeline for this case?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What information do you need from me or from my child's school, medical providers, or other sources?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What is your recommended approach to this case, and what are the alternatives?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How and when can I reach you? What is the best way to communicate?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Can you tell me about any diversion programs, deferred adjudication, or alternatives to conviction that my child may be eligible for?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committed to being an active and cooperative part of my child's defense. Please do not hesitate to contact me at [phone] or [email]. I am available [your availability].</w:t>
      </w:r>
    </w:p>
    <w:p>
      <w:pPr>
        <w:spacing w:after="20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Respectfully,</w:t>
      </w: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Signature]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Printed Name]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[Phone / Email]</w:t>
      </w:r>
    </w:p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ONGOING COMMUNICATION — QUESTIONS TO KEEP ASKING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has happened in the case since we last spoke?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Has the prosecutor made any offers? What do you recommend and why?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is the realistic range of outcomes for my child?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Is there anything my child can do — school enrollment, counseling, community service — that would help their case before the next hearing?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Will you be the one representing my child at every hearing, or will someone else appear?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my child takes a plea — what exactly does that mean for their record, now and in the future?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IF YOU HAVE CONCERNS ABOUT THE REPRESENTATION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Document every communication — dates, what was said, what was promised.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feel your child is not being adequately represented, you can request a supervisor at the public defender's office.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 can also contact the Colorado Office of the Child's Representative or seek a private attorney.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In Colorado, you can file a complaint with the Colorado Supreme Court Office of Attorney Regulation Counsel if you believe a lawyer violated ethical rules.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By the time a child enters the justice system, a hundred smaller decisions were already made about them. Your presence in their defense changes what happens next.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guide was prepared by The Jackie Project. For additional support, contact the Colorado Juvenile Defender Coalition (COJDC.org) or Colorado Legal Services (ColoLegal.org).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2026-05-05T23:06:13.261Z</dcterms:created>
  <dcterms:modified xsi:type="dcterms:W3CDTF">2026-05-05T23:06:13.261Z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